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E3431B">
        <w:rPr>
          <w:rFonts w:eastAsia="Arial Unicode MS" w:cs="Arial"/>
          <w:b/>
          <w:szCs w:val="24"/>
        </w:rPr>
        <w:t>0</w:t>
      </w:r>
      <w:r w:rsidR="009B1E00">
        <w:rPr>
          <w:rFonts w:eastAsia="Arial Unicode MS" w:cs="Arial"/>
          <w:b/>
          <w:szCs w:val="24"/>
        </w:rPr>
        <w:t>7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9B1E00" w:rsidRPr="001321B9" w:rsidRDefault="009B1E00" w:rsidP="009B1E00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 PARA PREENCHIMENTO DE VAGAS TEMPORÁRIAS E PARA A FORMAÇÃO DE CADASTRO DE RESERVA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5B7F60" w:rsidRDefault="001321B9" w:rsidP="009B1E0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</w:r>
      <w:r w:rsidR="009B1E00" w:rsidRPr="001321B9">
        <w:rPr>
          <w:szCs w:val="24"/>
        </w:rPr>
        <w:t>O MUNICÍPIO DE RODEIO</w:t>
      </w:r>
      <w:r w:rsidR="009B1E00" w:rsidRPr="001321B9">
        <w:rPr>
          <w:szCs w:val="24"/>
          <w:shd w:val="clear" w:color="auto" w:fill="FFFFFF"/>
        </w:rPr>
        <w:t xml:space="preserve"> faz saber a quem possa interessar </w:t>
      </w:r>
      <w:r w:rsidR="009B1E00" w:rsidRPr="001321B9">
        <w:rPr>
          <w:szCs w:val="24"/>
        </w:rPr>
        <w:t>que realizará PROCESSO SELETIVO</w:t>
      </w:r>
      <w:r w:rsidR="009B1E00">
        <w:rPr>
          <w:szCs w:val="24"/>
        </w:rPr>
        <w:t xml:space="preserve"> EMERGENCIAL</w:t>
      </w:r>
      <w:r w:rsidR="009B1E00"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 w:rsidR="009B1E00">
        <w:rPr>
          <w:szCs w:val="24"/>
        </w:rPr>
        <w:t xml:space="preserve">, para enfrentamento da emergência de Saúde Pública de importância Internacional decorrente do Coronavírus no Município de Rodeio, </w:t>
      </w:r>
      <w:r w:rsidR="009B1E00" w:rsidRPr="001321B9">
        <w:rPr>
          <w:szCs w:val="24"/>
        </w:rPr>
        <w:t xml:space="preserve">o qual </w:t>
      </w:r>
      <w:proofErr w:type="gramStart"/>
      <w:r w:rsidR="009B1E00" w:rsidRPr="001321B9">
        <w:rPr>
          <w:szCs w:val="24"/>
        </w:rPr>
        <w:t>reger-se-á</w:t>
      </w:r>
      <w:proofErr w:type="gramEnd"/>
      <w:r w:rsidR="009B1E00" w:rsidRPr="001321B9">
        <w:rPr>
          <w:szCs w:val="24"/>
        </w:rPr>
        <w:t xml:space="preserve"> </w:t>
      </w:r>
      <w:r w:rsidR="009B1E00" w:rsidRPr="00512E49">
        <w:rPr>
          <w:color w:val="000000" w:themeColor="text1"/>
          <w:szCs w:val="24"/>
        </w:rPr>
        <w:t>pela</w:t>
      </w:r>
      <w:r w:rsidR="009B1E00">
        <w:rPr>
          <w:szCs w:val="24"/>
        </w:rPr>
        <w:t xml:space="preserve"> </w:t>
      </w:r>
      <w:r w:rsidR="009B1E00" w:rsidRPr="001321B9">
        <w:rPr>
          <w:szCs w:val="24"/>
        </w:rPr>
        <w:t xml:space="preserve">Lei Ordinária nº 2052 de 01 de dezembro de 2017, </w:t>
      </w:r>
      <w:r w:rsidR="009B1E00">
        <w:rPr>
          <w:szCs w:val="24"/>
        </w:rPr>
        <w:t xml:space="preserve">pelas </w:t>
      </w:r>
      <w:r w:rsidR="009B1E00" w:rsidRPr="001321B9">
        <w:rPr>
          <w:szCs w:val="24"/>
        </w:rPr>
        <w:t>instruções especiais contidas neste Edital e demais disposições legais vigentes.</w:t>
      </w: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B1E00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30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B1E00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B1E00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B1E00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9B1E00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06/08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9B1E00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>07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08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  <w:r w:rsidR="009B1E0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4D7437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</w:t>
      </w:r>
      <w:r w:rsidR="004D7437">
        <w:rPr>
          <w:rFonts w:eastAsia="Arial Unicode MS" w:cs="Arial"/>
          <w:szCs w:val="24"/>
          <w:u w:color="000000"/>
        </w:rPr>
        <w:t xml:space="preserve"> </w:t>
      </w:r>
      <w:r w:rsidR="004D7437" w:rsidRPr="007A777E">
        <w:rPr>
          <w:rFonts w:eastAsia="Arial Unicode MS" w:cs="Arial"/>
          <w:b/>
          <w:szCs w:val="24"/>
          <w:u w:color="000000"/>
        </w:rPr>
        <w:t>POR CONTRATO TEMPORÁRIO</w:t>
      </w:r>
      <w:r w:rsidR="004D7437">
        <w:rPr>
          <w:rFonts w:eastAsia="Arial Unicode MS" w:cs="Arial"/>
          <w:b/>
          <w:szCs w:val="24"/>
          <w:u w:color="000000"/>
        </w:rPr>
        <w:t xml:space="preserve"> </w:t>
      </w:r>
      <w:r w:rsidR="004D7437">
        <w:rPr>
          <w:rFonts w:eastAsia="Arial Unicode MS" w:cs="Arial"/>
          <w:szCs w:val="24"/>
          <w:u w:color="000000"/>
        </w:rPr>
        <w:t xml:space="preserve">para </w:t>
      </w:r>
      <w:r w:rsidRPr="004705C3">
        <w:rPr>
          <w:rFonts w:eastAsia="Arial Unicode MS" w:cs="Arial"/>
          <w:szCs w:val="24"/>
          <w:u w:color="000000"/>
        </w:rPr>
        <w:t>os seguintes cargos:</w:t>
      </w:r>
      <w:r w:rsidR="004D7437">
        <w:rPr>
          <w:rFonts w:eastAsia="Arial Unicode MS" w:cs="Arial"/>
          <w:szCs w:val="24"/>
          <w:u w:color="000000"/>
        </w:rPr>
        <w:t xml:space="preserve"> 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E61B58">
        <w:trPr>
          <w:gridBefore w:val="1"/>
          <w:wBefore w:w="20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712E3E" w:rsidRPr="004705C3" w:rsidTr="0095281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1A0DE6" w:rsidRDefault="001A0DE6" w:rsidP="009A1F26">
            <w:pPr>
              <w:spacing w:line="36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hd w:val="clear" w:color="auto" w:fill="FFFFFF"/>
              </w:rPr>
              <w:t>T</w:t>
            </w:r>
            <w:r w:rsidRPr="001A0DE6">
              <w:rPr>
                <w:rFonts w:cs="Arial"/>
                <w:bCs/>
                <w:color w:val="000000" w:themeColor="text1"/>
                <w:shd w:val="clear" w:color="auto" w:fill="FFFFFF"/>
              </w:rPr>
              <w:t>écnico de enfermagem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5620DD" w:rsidRDefault="00BF4635" w:rsidP="007B431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712E3E">
              <w:rPr>
                <w:rFonts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3E" w:rsidRPr="001A0DE6" w:rsidRDefault="00BF4635" w:rsidP="009A1F26">
            <w:pPr>
              <w:spacing w:line="36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hd w:val="clear" w:color="auto" w:fill="FFFFFF"/>
              </w:rPr>
              <w:t>R$ 1.848,63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3E" w:rsidRPr="005620DD" w:rsidRDefault="00712E3E" w:rsidP="007B431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5620DD" w:rsidRDefault="00712E3E" w:rsidP="007B431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</w:tbl>
    <w:p w:rsidR="00CB6E74" w:rsidRP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deverão acompanhar através dos meios de comunicação da Administração Municipal, as vagas que possam surgir durante o período de validade do Processo </w:t>
      </w:r>
      <w:r w:rsidRPr="004705C3">
        <w:rPr>
          <w:rFonts w:ascii="Arial" w:hAnsi="Arial" w:cs="Arial"/>
          <w:color w:val="auto"/>
          <w:szCs w:val="24"/>
        </w:rPr>
        <w:lastRenderedPageBreak/>
        <w:t>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593B28">
          <w:rPr>
            <w:rStyle w:val="Hyperlink"/>
            <w:rFonts w:ascii="Arial" w:hAnsi="Arial" w:cs="Arial"/>
            <w:color w:val="4472C4" w:themeColor="accent5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</w:t>
      </w:r>
      <w:r w:rsidRPr="004705C3">
        <w:rPr>
          <w:rFonts w:ascii="Arial" w:hAnsi="Arial" w:cs="Arial"/>
          <w:color w:val="auto"/>
          <w:szCs w:val="24"/>
        </w:rPr>
        <w:lastRenderedPageBreak/>
        <w:t>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r w:rsidR="00593B28">
        <w:rPr>
          <w:rFonts w:cs="Arial"/>
          <w:szCs w:val="24"/>
        </w:rPr>
        <w:t>Giacomo Furlani</w:t>
      </w:r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9B1E00">
        <w:rPr>
          <w:rFonts w:cs="Arial"/>
          <w:szCs w:val="24"/>
        </w:rPr>
        <w:t>30</w:t>
      </w:r>
      <w:r w:rsidR="000174DD" w:rsidRPr="000E15B9">
        <w:rPr>
          <w:rFonts w:cs="Arial"/>
          <w:szCs w:val="24"/>
        </w:rPr>
        <w:t>/</w:t>
      </w:r>
      <w:r w:rsidR="00495A99" w:rsidRPr="000E15B9">
        <w:rPr>
          <w:rFonts w:cs="Arial"/>
          <w:szCs w:val="24"/>
        </w:rPr>
        <w:t>0</w:t>
      </w:r>
      <w:r w:rsidR="009B1E00">
        <w:rPr>
          <w:rFonts w:cs="Arial"/>
          <w:szCs w:val="24"/>
        </w:rPr>
        <w:t>7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9B1E00">
        <w:rPr>
          <w:rFonts w:cs="Arial"/>
          <w:szCs w:val="24"/>
        </w:rPr>
        <w:t>03</w:t>
      </w:r>
      <w:r w:rsidR="000174DD" w:rsidRPr="000E15B9">
        <w:rPr>
          <w:rFonts w:cs="Arial"/>
          <w:szCs w:val="24"/>
        </w:rPr>
        <w:t>/</w:t>
      </w:r>
      <w:r w:rsidR="00013F1A">
        <w:rPr>
          <w:rFonts w:cs="Arial"/>
          <w:szCs w:val="24"/>
        </w:rPr>
        <w:t>0</w:t>
      </w:r>
      <w:r w:rsidR="009B1E00">
        <w:rPr>
          <w:rFonts w:cs="Arial"/>
          <w:szCs w:val="24"/>
        </w:rPr>
        <w:t>8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proofErr w:type="gramStart"/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proofErr w:type="gramEnd"/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9B1E00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BA25CE">
        <w:rPr>
          <w:rFonts w:ascii="Arial" w:hAnsi="Arial" w:cs="Arial"/>
          <w:b/>
          <w:i/>
        </w:rPr>
        <w:t xml:space="preserve">4.1.1 </w:t>
      </w:r>
      <w:r w:rsidR="0026726D" w:rsidRPr="009B1E00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4.1.2 </w:t>
      </w:r>
      <w:r w:rsidR="0026726D" w:rsidRPr="00BA25CE">
        <w:rPr>
          <w:rFonts w:ascii="Arial" w:hAnsi="Arial" w:cs="Arial"/>
          <w:b/>
          <w:i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53124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 xml:space="preserve">na 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Secretaria </w:t>
      </w:r>
      <w:r w:rsidR="00593B28" w:rsidRPr="00531249">
        <w:rPr>
          <w:rFonts w:ascii="Arial" w:hAnsi="Arial" w:cs="Arial"/>
          <w:color w:val="000000" w:themeColor="text1"/>
          <w:szCs w:val="24"/>
        </w:rPr>
        <w:t>de Saúde</w:t>
      </w:r>
      <w:r w:rsidR="00733C6C" w:rsidRPr="00531249">
        <w:rPr>
          <w:rFonts w:ascii="Arial" w:hAnsi="Arial" w:cs="Arial"/>
          <w:color w:val="000000" w:themeColor="text1"/>
          <w:szCs w:val="24"/>
        </w:rPr>
        <w:t>,</w:t>
      </w:r>
      <w:r w:rsidR="00513993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2D2A42" w:rsidRPr="00531249">
        <w:rPr>
          <w:rFonts w:ascii="Arial" w:hAnsi="Arial" w:cs="Arial"/>
          <w:color w:val="000000" w:themeColor="text1"/>
          <w:szCs w:val="24"/>
        </w:rPr>
        <w:t xml:space="preserve">sala </w:t>
      </w:r>
      <w:r w:rsidR="008408FF" w:rsidRPr="00531249">
        <w:rPr>
          <w:rFonts w:ascii="Arial" w:hAnsi="Arial" w:cs="Arial"/>
          <w:color w:val="000000" w:themeColor="text1"/>
          <w:szCs w:val="24"/>
        </w:rPr>
        <w:t>anex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a </w:t>
      </w:r>
      <w:r w:rsidR="00593B28" w:rsidRPr="00531249">
        <w:rPr>
          <w:rFonts w:ascii="Arial" w:hAnsi="Arial" w:cs="Arial"/>
          <w:color w:val="000000" w:themeColor="text1"/>
          <w:szCs w:val="24"/>
        </w:rPr>
        <w:t>na Vila Italiana</w:t>
      </w:r>
      <w:r w:rsidR="002F4188" w:rsidRPr="00531249">
        <w:rPr>
          <w:rFonts w:ascii="Arial" w:hAnsi="Arial" w:cs="Arial"/>
          <w:color w:val="000000" w:themeColor="text1"/>
          <w:szCs w:val="24"/>
        </w:rPr>
        <w:t xml:space="preserve"> de Rodeio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localizada na Rua </w:t>
      </w:r>
      <w:r w:rsidR="00593B28" w:rsidRPr="00531249">
        <w:rPr>
          <w:rFonts w:ascii="Arial" w:hAnsi="Arial" w:cs="Arial"/>
          <w:color w:val="000000" w:themeColor="text1"/>
          <w:szCs w:val="24"/>
        </w:rPr>
        <w:t>Giacomo Furlani</w:t>
      </w:r>
      <w:r w:rsidR="00935918" w:rsidRPr="00531249">
        <w:rPr>
          <w:rFonts w:ascii="Arial" w:hAnsi="Arial" w:cs="Arial"/>
          <w:color w:val="000000" w:themeColor="text1"/>
          <w:szCs w:val="24"/>
        </w:rPr>
        <w:t>, Bairro Centro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no período matutino das </w:t>
      </w:r>
      <w:proofErr w:type="gramStart"/>
      <w:r w:rsidR="00C71A8E" w:rsidRPr="00531249">
        <w:rPr>
          <w:rFonts w:ascii="Arial" w:hAnsi="Arial" w:cs="Arial"/>
          <w:color w:val="000000" w:themeColor="text1"/>
          <w:szCs w:val="24"/>
        </w:rPr>
        <w:t>7:30</w:t>
      </w:r>
      <w:proofErr w:type="gramEnd"/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pelo telefone (47) 3384-0166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6E0E5A" w:rsidRPr="00531249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>rova será Escrita Objetiva para o</w:t>
      </w:r>
      <w:r w:rsidR="009B1E00">
        <w:rPr>
          <w:rFonts w:cs="Arial"/>
          <w:b/>
          <w:bCs/>
          <w:color w:val="000000"/>
          <w:szCs w:val="24"/>
        </w:rPr>
        <w:t xml:space="preserve"> TÉCNICO DE ENFERMAGEM</w:t>
      </w:r>
      <w:r w:rsidR="009F0F06" w:rsidRPr="009B1E00">
        <w:rPr>
          <w:rFonts w:cs="Arial"/>
          <w:bCs/>
          <w:color w:val="000000"/>
          <w:szCs w:val="24"/>
        </w:rPr>
        <w:t>,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conhecimentos específicos sobre a função que o candidato irá exercer, de caráter eliminatório e classificatório.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9F0F06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</w:t>
      </w:r>
      <w:r w:rsidR="00581E9A">
        <w:rPr>
          <w:rFonts w:cs="Arial"/>
          <w:szCs w:val="24"/>
        </w:rPr>
        <w:t xml:space="preserve"> </w:t>
      </w:r>
      <w:r w:rsidR="001A0DE6">
        <w:rPr>
          <w:rFonts w:cs="Arial"/>
          <w:b/>
          <w:bCs/>
          <w:color w:val="000000"/>
          <w:szCs w:val="24"/>
        </w:rPr>
        <w:t>TÉCNICO DE ENFERMAGEM</w:t>
      </w:r>
      <w:r w:rsidR="00581E9A">
        <w:rPr>
          <w:rFonts w:cs="Arial"/>
          <w:b/>
          <w:bCs/>
          <w:color w:val="000000"/>
          <w:szCs w:val="24"/>
        </w:rPr>
        <w:t>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9B1E00">
        <w:rPr>
          <w:rFonts w:cs="Arial"/>
          <w:color w:val="000000" w:themeColor="text1"/>
          <w:szCs w:val="24"/>
        </w:rPr>
        <w:t>04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9B1E00">
        <w:rPr>
          <w:rFonts w:cs="Arial"/>
          <w:color w:val="000000" w:themeColor="text1"/>
          <w:szCs w:val="24"/>
        </w:rPr>
        <w:t>Agosto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Pr="009F0F06">
        <w:rPr>
          <w:rFonts w:cs="Arial"/>
          <w:color w:val="000000" w:themeColor="text1"/>
          <w:szCs w:val="24"/>
        </w:rPr>
        <w:t>14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proofErr w:type="gramStart"/>
      <w:r w:rsidR="00581E9A">
        <w:rPr>
          <w:rFonts w:cs="Arial"/>
          <w:color w:val="000000" w:themeColor="text1"/>
          <w:szCs w:val="24"/>
        </w:rPr>
        <w:t>15</w:t>
      </w:r>
      <w:r w:rsidR="00013F1A" w:rsidRPr="009F0F06">
        <w:rPr>
          <w:rFonts w:cs="Arial"/>
          <w:color w:val="000000" w:themeColor="text1"/>
          <w:szCs w:val="24"/>
        </w:rPr>
        <w:t>:</w:t>
      </w:r>
      <w:r w:rsidR="009B1E00">
        <w:rPr>
          <w:rFonts w:cs="Arial"/>
          <w:color w:val="000000" w:themeColor="text1"/>
          <w:szCs w:val="24"/>
        </w:rPr>
        <w:t>3</w:t>
      </w:r>
      <w:r w:rsidR="00013F1A" w:rsidRPr="009F0F06">
        <w:rPr>
          <w:rFonts w:cs="Arial"/>
          <w:color w:val="000000" w:themeColor="text1"/>
          <w:szCs w:val="24"/>
        </w:rPr>
        <w:t>0</w:t>
      </w:r>
      <w:proofErr w:type="gramEnd"/>
      <w:r w:rsidR="00013F1A" w:rsidRPr="009F0F06">
        <w:rPr>
          <w:rFonts w:cs="Arial"/>
          <w:color w:val="000000" w:themeColor="text1"/>
          <w:szCs w:val="24"/>
        </w:rPr>
        <w:t xml:space="preserve"> horas. O local de realização da prova será</w:t>
      </w:r>
      <w:r w:rsidR="009B1E00">
        <w:rPr>
          <w:rFonts w:cs="Arial"/>
          <w:color w:val="000000" w:themeColor="text1"/>
          <w:szCs w:val="24"/>
        </w:rPr>
        <w:t xml:space="preserve"> na Escola</w:t>
      </w:r>
      <w:r w:rsidR="00581E9A">
        <w:rPr>
          <w:rFonts w:cs="Arial"/>
          <w:color w:val="000000" w:themeColor="text1"/>
          <w:szCs w:val="24"/>
        </w:rPr>
        <w:t xml:space="preserve"> Municipal Santo Antônio, sito a Rua</w:t>
      </w:r>
      <w:r w:rsidR="00025D1F">
        <w:rPr>
          <w:rFonts w:cs="Arial"/>
          <w:color w:val="000000" w:themeColor="text1"/>
          <w:szCs w:val="24"/>
        </w:rPr>
        <w:t xml:space="preserve"> Sí</w:t>
      </w:r>
      <w:r w:rsidR="00581E9A">
        <w:rPr>
          <w:rFonts w:cs="Arial"/>
          <w:color w:val="000000" w:themeColor="text1"/>
          <w:szCs w:val="24"/>
        </w:rPr>
        <w:t>lvio Scoz</w:t>
      </w:r>
      <w:r w:rsidR="00E425C8">
        <w:rPr>
          <w:rFonts w:cs="Arial"/>
          <w:color w:val="000000" w:themeColor="text1"/>
          <w:szCs w:val="24"/>
        </w:rPr>
        <w:t xml:space="preserve"> S.N. É obrigatório o uso de máscara e álcool gel ao entrar no local de prova, e verificação de temperatura, sendo ela igual ou acima 37.8°C o candidato não poderá entrar no local de prova, e receberá as orientações necessárias, seguindo os Protocolos e Normas do Ministério da Saúde e Vigilâncias locais de saúde. A PROVA SERÁ REALIZADA EM LOCAL AMPLO E TODO ABERTO DEVIDO O ENFRENTAMENTO DA PANDEMIA COVID-19</w:t>
      </w:r>
      <w:r w:rsidR="00013F1A" w:rsidRPr="009F0F06">
        <w:rPr>
          <w:rFonts w:cs="Arial"/>
          <w:color w:val="000000" w:themeColor="text1"/>
          <w:szCs w:val="24"/>
        </w:rPr>
        <w:t>;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r w:rsidR="00C46E70">
        <w:rPr>
          <w:rFonts w:cs="Arial"/>
          <w:color w:val="000000" w:themeColor="text1"/>
          <w:szCs w:val="24"/>
        </w:rPr>
        <w:t>uma</w:t>
      </w:r>
      <w:r w:rsidR="00C876CB">
        <w:rPr>
          <w:rFonts w:cs="Arial"/>
          <w:color w:val="000000" w:themeColor="text1"/>
          <w:szCs w:val="24"/>
        </w:rPr>
        <w:t xml:space="preserve"> hora</w:t>
      </w:r>
      <w:r w:rsidR="00E425C8">
        <w:rPr>
          <w:rFonts w:cs="Arial"/>
          <w:color w:val="000000" w:themeColor="text1"/>
          <w:szCs w:val="24"/>
        </w:rPr>
        <w:t xml:space="preserve"> e trinta minutos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lastRenderedPageBreak/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C46E70">
        <w:rPr>
          <w:rFonts w:cs="Arial"/>
          <w:color w:val="000000" w:themeColor="text1"/>
          <w:szCs w:val="24"/>
        </w:rPr>
        <w:t>05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C46E70">
        <w:rPr>
          <w:rFonts w:cs="Arial"/>
          <w:color w:val="000000" w:themeColor="text1"/>
          <w:szCs w:val="24"/>
        </w:rPr>
        <w:t>Agosto</w:t>
      </w:r>
      <w:r w:rsidR="001A0DE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hyperlink r:id="rId9" w:history="1">
        <w:r w:rsidR="00DB7BFF" w:rsidRPr="00C876CB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Giacomo Furlani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C46E70">
        <w:rPr>
          <w:rFonts w:cs="Arial"/>
          <w:szCs w:val="24"/>
        </w:rPr>
        <w:t>06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C46E70">
        <w:rPr>
          <w:rFonts w:cs="Arial"/>
          <w:szCs w:val="24"/>
        </w:rPr>
        <w:t>7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C46E70">
        <w:rPr>
          <w:rFonts w:cs="Arial"/>
          <w:szCs w:val="24"/>
        </w:rPr>
        <w:t>07</w:t>
      </w:r>
      <w:r w:rsidR="00132991">
        <w:rPr>
          <w:rFonts w:cs="Arial"/>
          <w:szCs w:val="24"/>
        </w:rPr>
        <w:t xml:space="preserve"> </w:t>
      </w:r>
      <w:r w:rsidR="009F0F06">
        <w:rPr>
          <w:rFonts w:cs="Arial"/>
          <w:szCs w:val="24"/>
        </w:rPr>
        <w:t xml:space="preserve">de </w:t>
      </w:r>
      <w:r w:rsidR="00C46E70">
        <w:rPr>
          <w:rFonts w:cs="Arial"/>
          <w:szCs w:val="24"/>
        </w:rPr>
        <w:t>Agosto</w:t>
      </w:r>
      <w:r w:rsidR="009F0F06">
        <w:rPr>
          <w:rFonts w:cs="Arial"/>
          <w:szCs w:val="24"/>
        </w:rPr>
        <w:t xml:space="preserve">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20</w:t>
      </w:r>
      <w:r w:rsidR="006E0E5A" w:rsidRPr="004705C3">
        <w:rPr>
          <w:rFonts w:cs="Arial"/>
          <w:szCs w:val="24"/>
        </w:rPr>
        <w:t xml:space="preserve"> após as </w:t>
      </w:r>
      <w:r w:rsidR="00C46E70">
        <w:rPr>
          <w:rFonts w:cs="Arial"/>
          <w:szCs w:val="24"/>
        </w:rPr>
        <w:t>10</w:t>
      </w:r>
      <w:r w:rsidR="006E0E5A" w:rsidRPr="004705C3">
        <w:rPr>
          <w:rFonts w:cs="Arial"/>
          <w:szCs w:val="24"/>
        </w:rPr>
        <w:t xml:space="preserve"> horas</w:t>
      </w:r>
      <w:r w:rsidR="00C46E70">
        <w:rPr>
          <w:rFonts w:cs="Arial"/>
          <w:szCs w:val="24"/>
        </w:rPr>
        <w:t xml:space="preserve"> da manhã</w:t>
      </w:r>
      <w:r w:rsidR="00DB7BFF">
        <w:rPr>
          <w:rFonts w:cs="Arial"/>
          <w:szCs w:val="24"/>
        </w:rPr>
        <w:t xml:space="preserve">, no site da Prefeitura de Rodeio </w:t>
      </w:r>
      <w:hyperlink r:id="rId10" w:history="1">
        <w:r w:rsidR="00DB7BFF" w:rsidRPr="00FD0BBA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lastRenderedPageBreak/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 xml:space="preserve">. - Ter aptidão física e mental, demonstrada por atestado médico, fornecido por médico designado pelo Município após a apreciação dos exames e dos </w:t>
      </w:r>
      <w:r w:rsidRPr="004705C3">
        <w:rPr>
          <w:rFonts w:ascii="Arial" w:hAnsi="Arial" w:cs="Arial"/>
          <w:color w:val="auto"/>
          <w:szCs w:val="24"/>
        </w:rPr>
        <w:lastRenderedPageBreak/>
        <w:t>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1A0DE6">
        <w:rPr>
          <w:rFonts w:ascii="Arial" w:hAnsi="Arial" w:cs="Arial"/>
          <w:bCs/>
          <w:color w:val="auto"/>
          <w:szCs w:val="24"/>
        </w:rPr>
        <w:t xml:space="preserve"> para </w:t>
      </w:r>
      <w:r w:rsidR="00FD0BBA">
        <w:rPr>
          <w:rFonts w:ascii="Arial" w:hAnsi="Arial" w:cs="Arial"/>
          <w:bCs/>
          <w:color w:val="auto"/>
          <w:szCs w:val="24"/>
        </w:rPr>
        <w:t>o</w:t>
      </w:r>
      <w:r w:rsidR="001A0DE6">
        <w:rPr>
          <w:rFonts w:ascii="Arial" w:hAnsi="Arial" w:cs="Arial"/>
          <w:bCs/>
          <w:color w:val="auto"/>
          <w:szCs w:val="24"/>
        </w:rPr>
        <w:t>s candidatos</w:t>
      </w:r>
      <w:r w:rsidR="00FD0BBA">
        <w:rPr>
          <w:rFonts w:ascii="Arial" w:hAnsi="Arial" w:cs="Arial"/>
          <w:bCs/>
          <w:color w:val="auto"/>
          <w:szCs w:val="24"/>
        </w:rPr>
        <w:t xml:space="preserve"> </w:t>
      </w:r>
      <w:r w:rsidR="001A0DE6">
        <w:rPr>
          <w:rFonts w:ascii="Arial" w:hAnsi="Arial" w:cs="Arial"/>
          <w:bCs/>
          <w:color w:val="auto"/>
          <w:szCs w:val="24"/>
        </w:rPr>
        <w:t>d</w:t>
      </w:r>
      <w:r w:rsidR="00FD0BBA">
        <w:rPr>
          <w:rFonts w:ascii="Arial" w:hAnsi="Arial" w:cs="Arial"/>
          <w:bCs/>
          <w:color w:val="auto"/>
          <w:szCs w:val="24"/>
        </w:rPr>
        <w:t xml:space="preserve">a vaga de </w:t>
      </w:r>
      <w:r w:rsidR="002F4188">
        <w:rPr>
          <w:rFonts w:ascii="Arial" w:hAnsi="Arial" w:cs="Arial"/>
          <w:b/>
          <w:bCs/>
          <w:color w:val="auto"/>
          <w:szCs w:val="24"/>
        </w:rPr>
        <w:t>A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 xml:space="preserve">gente </w:t>
      </w:r>
      <w:r w:rsidR="002F4188">
        <w:rPr>
          <w:rFonts w:ascii="Arial" w:hAnsi="Arial" w:cs="Arial"/>
          <w:b/>
          <w:bCs/>
          <w:color w:val="auto"/>
          <w:szCs w:val="24"/>
        </w:rPr>
        <w:t>C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>omunitário</w:t>
      </w:r>
      <w:r w:rsidR="001A0DE6">
        <w:rPr>
          <w:rFonts w:ascii="Arial" w:hAnsi="Arial" w:cs="Arial"/>
          <w:bCs/>
          <w:color w:val="auto"/>
          <w:szCs w:val="24"/>
        </w:rPr>
        <w:t xml:space="preserve"> de saúde, </w:t>
      </w:r>
      <w:r w:rsidR="00282901">
        <w:rPr>
          <w:rFonts w:ascii="Arial" w:hAnsi="Arial" w:cs="Arial"/>
          <w:bCs/>
          <w:color w:val="auto"/>
          <w:szCs w:val="24"/>
        </w:rPr>
        <w:t>os mesmos terão</w:t>
      </w:r>
      <w:r w:rsidR="00FD0BBA">
        <w:rPr>
          <w:rFonts w:ascii="Arial" w:hAnsi="Arial" w:cs="Arial"/>
          <w:bCs/>
          <w:color w:val="auto"/>
          <w:szCs w:val="24"/>
        </w:rPr>
        <w:t xml:space="preserve"> que </w:t>
      </w:r>
      <w:r w:rsidR="007E3FAC">
        <w:rPr>
          <w:rFonts w:ascii="Arial" w:hAnsi="Arial" w:cs="Arial"/>
          <w:bCs/>
          <w:color w:val="auto"/>
          <w:szCs w:val="24"/>
        </w:rPr>
        <w:t>residir</w:t>
      </w:r>
      <w:r w:rsidR="00FD0BBA">
        <w:rPr>
          <w:rFonts w:ascii="Arial" w:hAnsi="Arial" w:cs="Arial"/>
          <w:bCs/>
          <w:color w:val="auto"/>
          <w:szCs w:val="24"/>
        </w:rPr>
        <w:t xml:space="preserve"> no bairro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2D5543" w:rsidRPr="002D5543" w:rsidRDefault="002D5543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2D5543">
        <w:rPr>
          <w:rFonts w:ascii="Arial" w:hAnsi="Arial" w:cs="Arial"/>
          <w:b/>
          <w:color w:val="auto"/>
          <w:szCs w:val="24"/>
        </w:rPr>
        <w:t>10.5.19. – A contratação será para atuar no combate a pandemia, portanto</w:t>
      </w:r>
      <w:proofErr w:type="gramStart"/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 w:rsidR="00BD6249">
        <w:rPr>
          <w:rFonts w:ascii="Arial" w:hAnsi="Arial" w:cs="Arial"/>
          <w:b/>
          <w:color w:val="auto"/>
          <w:szCs w:val="24"/>
        </w:rPr>
        <w:t xml:space="preserve"> </w:t>
      </w:r>
      <w:proofErr w:type="gramEnd"/>
      <w:r w:rsidR="00BD6249">
        <w:rPr>
          <w:rFonts w:ascii="Arial" w:hAnsi="Arial" w:cs="Arial"/>
          <w:b/>
          <w:color w:val="auto"/>
          <w:szCs w:val="24"/>
        </w:rPr>
        <w:t xml:space="preserve">o candidato </w:t>
      </w:r>
      <w:r w:rsidR="00E458B7">
        <w:rPr>
          <w:rFonts w:ascii="Arial" w:hAnsi="Arial" w:cs="Arial"/>
          <w:b/>
          <w:color w:val="auto"/>
          <w:szCs w:val="24"/>
        </w:rPr>
        <w:t>n</w:t>
      </w:r>
      <w:bookmarkStart w:id="0" w:name="_GoBack"/>
      <w:bookmarkEnd w:id="0"/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2D5543">
        <w:rPr>
          <w:rFonts w:ascii="Arial" w:hAnsi="Arial" w:cs="Arial"/>
          <w:color w:val="auto"/>
          <w:szCs w:val="24"/>
        </w:rPr>
        <w:t>5.20</w:t>
      </w:r>
      <w:r w:rsidR="008F7EA8">
        <w:rPr>
          <w:rFonts w:ascii="Arial" w:hAnsi="Arial" w:cs="Arial"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D5543" w:rsidRDefault="002D5543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lastRenderedPageBreak/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442655" w:rsidRPr="00282901" w:rsidRDefault="0052076E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B3419F">
        <w:rPr>
          <w:rFonts w:ascii="Arial" w:hAnsi="Arial" w:cs="Arial"/>
          <w:szCs w:val="24"/>
        </w:rPr>
        <w:br/>
      </w:r>
    </w:p>
    <w:p w:rsidR="00282901" w:rsidRPr="0021283D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proofErr w:type="gramStart"/>
      <w:r w:rsidRPr="0021283D">
        <w:rPr>
          <w:rFonts w:cs="Arial"/>
          <w:b/>
          <w:bCs/>
          <w:color w:val="000000" w:themeColor="text1"/>
          <w:szCs w:val="24"/>
          <w:shd w:val="clear" w:color="auto" w:fill="FFFFFF"/>
        </w:rPr>
        <w:t>12.</w:t>
      </w:r>
      <w:r w:rsidR="00D40774">
        <w:rPr>
          <w:rFonts w:cs="Arial"/>
          <w:b/>
          <w:bCs/>
          <w:color w:val="000000" w:themeColor="text1"/>
          <w:szCs w:val="24"/>
          <w:shd w:val="clear" w:color="auto" w:fill="FFFFFF"/>
        </w:rPr>
        <w:t>1</w:t>
      </w:r>
      <w:r w:rsidRPr="0021283D">
        <w:rPr>
          <w:rFonts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Pr="0021283D">
        <w:rPr>
          <w:rFonts w:eastAsia="Calibri" w:cs="Arial"/>
          <w:b/>
          <w:bCs/>
          <w:color w:val="000000" w:themeColor="text1"/>
          <w:szCs w:val="24"/>
        </w:rPr>
        <w:t>TÉCNICO</w:t>
      </w:r>
      <w:proofErr w:type="gramEnd"/>
      <w:r w:rsidRPr="0021283D">
        <w:rPr>
          <w:rFonts w:eastAsia="Calibri" w:cs="Arial"/>
          <w:b/>
          <w:bCs/>
          <w:color w:val="000000" w:themeColor="text1"/>
          <w:szCs w:val="24"/>
        </w:rPr>
        <w:t xml:space="preserve"> DE ENFERMAGEM</w:t>
      </w:r>
    </w:p>
    <w:p w:rsidR="0035606A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B24F16" w:rsidRDefault="00B24F16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282901" w:rsidRPr="00442655" w:rsidRDefault="00282901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C46E70">
        <w:rPr>
          <w:rFonts w:ascii="Arial" w:hAnsi="Arial" w:cs="Arial"/>
          <w:b/>
          <w:bCs/>
          <w:color w:val="000000" w:themeColor="text1"/>
          <w:szCs w:val="24"/>
        </w:rPr>
        <w:t>30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C46E70">
        <w:rPr>
          <w:rFonts w:ascii="Arial" w:hAnsi="Arial" w:cs="Arial"/>
          <w:b/>
          <w:bCs/>
          <w:color w:val="000000" w:themeColor="text1"/>
          <w:szCs w:val="24"/>
        </w:rPr>
        <w:t>Julho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0458A6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  <w:r w:rsidR="00AD6A40">
        <w:rPr>
          <w:rFonts w:ascii="Arial" w:eastAsia="Arial Unicode MS" w:hAnsi="Arial" w:cs="Arial"/>
          <w:b/>
          <w:sz w:val="24"/>
          <w:szCs w:val="24"/>
          <w:u w:color="000000"/>
        </w:rPr>
        <w:t xml:space="preserve"> 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Para todos os cargos: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Pr="007C31E6" w:rsidRDefault="001E47E1" w:rsidP="001E47E1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:rsidR="001E47E1" w:rsidRDefault="001E47E1" w:rsidP="001E47E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</w:t>
      </w:r>
      <w:proofErr w:type="gramStart"/>
      <w:r w:rsidRPr="006D5896">
        <w:rPr>
          <w:rFonts w:ascii="Arial" w:hAnsi="Arial" w:cs="Arial"/>
          <w:szCs w:val="24"/>
        </w:rPr>
        <w:t>doenças transmissíveis não imunizáveis</w:t>
      </w:r>
      <w:proofErr w:type="gramEnd"/>
      <w:r w:rsidRPr="006D5896">
        <w:rPr>
          <w:rFonts w:ascii="Arial" w:hAnsi="Arial" w:cs="Arial"/>
          <w:szCs w:val="24"/>
        </w:rPr>
        <w:t xml:space="preserve"> e parasitárias. Doenças sexualmente transmissíveis. </w:t>
      </w:r>
      <w:proofErr w:type="gramStart"/>
      <w:r w:rsidRPr="006D5896">
        <w:rPr>
          <w:rFonts w:ascii="Arial" w:hAnsi="Arial" w:cs="Arial"/>
          <w:szCs w:val="24"/>
        </w:rPr>
        <w:t>Doenças transmissíveis imunizáveis</w:t>
      </w:r>
      <w:proofErr w:type="gramEnd"/>
      <w:r w:rsidRPr="006D5896">
        <w:rPr>
          <w:rFonts w:ascii="Arial" w:hAnsi="Arial" w:cs="Arial"/>
          <w:szCs w:val="24"/>
        </w:rPr>
        <w:t xml:space="preserve">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diarréicas, no controle das infecções respiratórias agudas, no controle das verminoses. Assistência de enfermagem ao adulto. Conceito, causas, </w:t>
      </w:r>
      <w:r w:rsidRPr="006D5896">
        <w:rPr>
          <w:rFonts w:ascii="Arial" w:hAnsi="Arial" w:cs="Arial"/>
          <w:szCs w:val="24"/>
        </w:rPr>
        <w:lastRenderedPageBreak/>
        <w:t>sinais e sintomas, tratamento e assistência de enfermagem das patologias: hipertensão arterial, pneumonias, hemorragia digestiva, diabetes mellitus, acidente vascular cerebral, traumatismos (</w:t>
      </w:r>
      <w:proofErr w:type="spellStart"/>
      <w:r w:rsidRPr="006D5896">
        <w:rPr>
          <w:rFonts w:ascii="Arial" w:hAnsi="Arial" w:cs="Arial"/>
          <w:szCs w:val="24"/>
        </w:rPr>
        <w:t>distenção</w:t>
      </w:r>
      <w:proofErr w:type="spellEnd"/>
      <w:r w:rsidRPr="006D5896">
        <w:rPr>
          <w:rFonts w:ascii="Arial" w:hAnsi="Arial" w:cs="Arial"/>
          <w:szCs w:val="24"/>
        </w:rPr>
        <w:t xml:space="preserve">, </w:t>
      </w:r>
      <w:proofErr w:type="spellStart"/>
      <w:r w:rsidRPr="006D5896">
        <w:rPr>
          <w:rFonts w:ascii="Arial" w:hAnsi="Arial" w:cs="Arial"/>
          <w:szCs w:val="24"/>
        </w:rPr>
        <w:t>entorços</w:t>
      </w:r>
      <w:proofErr w:type="spellEnd"/>
      <w:r w:rsidRPr="006D5896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</w:t>
      </w:r>
      <w:r w:rsidR="0012617C">
        <w:rPr>
          <w:rFonts w:ascii="Arial" w:hAnsi="Arial" w:cs="Arial"/>
          <w:szCs w:val="24"/>
        </w:rPr>
        <w:t xml:space="preserve"> enfermagem no pré, trans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:rsidR="00025D1F" w:rsidRDefault="00025D1F" w:rsidP="001E47E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:rsidR="00163090" w:rsidRDefault="00163090" w:rsidP="001E47E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</w:rPr>
      </w:pPr>
    </w:p>
    <w:p w:rsidR="00FE3889" w:rsidRDefault="00FE3889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33" w:rsidRDefault="00F35F33" w:rsidP="00B91AEF">
      <w:pPr>
        <w:spacing w:after="0" w:line="240" w:lineRule="auto"/>
      </w:pPr>
      <w:r>
        <w:separator/>
      </w:r>
    </w:p>
  </w:endnote>
  <w:endnote w:type="continuationSeparator" w:id="0">
    <w:p w:rsidR="00F35F33" w:rsidRDefault="00F35F3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33" w:rsidRDefault="00F35F33" w:rsidP="00B91AEF">
      <w:pPr>
        <w:spacing w:after="0" w:line="240" w:lineRule="auto"/>
      </w:pPr>
      <w:r>
        <w:separator/>
      </w:r>
    </w:p>
  </w:footnote>
  <w:footnote w:type="continuationSeparator" w:id="0">
    <w:p w:rsidR="00F35F33" w:rsidRDefault="00F35F3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00B60"/>
    <w:rsid w:val="00000BC9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1C54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D26"/>
    <w:rsid w:val="000E15B9"/>
    <w:rsid w:val="000F18A1"/>
    <w:rsid w:val="00102445"/>
    <w:rsid w:val="0011211E"/>
    <w:rsid w:val="0011671C"/>
    <w:rsid w:val="00116CDE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63090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2901"/>
    <w:rsid w:val="0028431A"/>
    <w:rsid w:val="002916AF"/>
    <w:rsid w:val="002B20E2"/>
    <w:rsid w:val="002B57B9"/>
    <w:rsid w:val="002D2A42"/>
    <w:rsid w:val="002D44A5"/>
    <w:rsid w:val="002D5543"/>
    <w:rsid w:val="002D6C06"/>
    <w:rsid w:val="002F289C"/>
    <w:rsid w:val="002F4188"/>
    <w:rsid w:val="003018C2"/>
    <w:rsid w:val="00304369"/>
    <w:rsid w:val="003133DE"/>
    <w:rsid w:val="003254B3"/>
    <w:rsid w:val="00327CC8"/>
    <w:rsid w:val="0033530E"/>
    <w:rsid w:val="003407B5"/>
    <w:rsid w:val="00355368"/>
    <w:rsid w:val="0035606A"/>
    <w:rsid w:val="00356CFD"/>
    <w:rsid w:val="00361B67"/>
    <w:rsid w:val="003637DE"/>
    <w:rsid w:val="003649A7"/>
    <w:rsid w:val="00366430"/>
    <w:rsid w:val="00381B72"/>
    <w:rsid w:val="0038214B"/>
    <w:rsid w:val="00382EAD"/>
    <w:rsid w:val="003945D2"/>
    <w:rsid w:val="0039663C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765F7"/>
    <w:rsid w:val="00476AB3"/>
    <w:rsid w:val="0048080D"/>
    <w:rsid w:val="00486B97"/>
    <w:rsid w:val="00495A99"/>
    <w:rsid w:val="00495EE5"/>
    <w:rsid w:val="004A097D"/>
    <w:rsid w:val="004A553F"/>
    <w:rsid w:val="004A6B38"/>
    <w:rsid w:val="004B45E3"/>
    <w:rsid w:val="004B5995"/>
    <w:rsid w:val="004C2874"/>
    <w:rsid w:val="004C3F6E"/>
    <w:rsid w:val="004C6599"/>
    <w:rsid w:val="004D53F6"/>
    <w:rsid w:val="004D7437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1249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1E9A"/>
    <w:rsid w:val="00584E77"/>
    <w:rsid w:val="0058528A"/>
    <w:rsid w:val="00593B28"/>
    <w:rsid w:val="005948A3"/>
    <w:rsid w:val="005966E6"/>
    <w:rsid w:val="005A49ED"/>
    <w:rsid w:val="005B34D7"/>
    <w:rsid w:val="005B42B5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12E3E"/>
    <w:rsid w:val="00722B1B"/>
    <w:rsid w:val="00733C6C"/>
    <w:rsid w:val="00736BA6"/>
    <w:rsid w:val="007539A7"/>
    <w:rsid w:val="007563A1"/>
    <w:rsid w:val="0075726C"/>
    <w:rsid w:val="00757BDB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1747F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4D0D"/>
    <w:rsid w:val="009931FD"/>
    <w:rsid w:val="009963EC"/>
    <w:rsid w:val="009A08DE"/>
    <w:rsid w:val="009A7AA1"/>
    <w:rsid w:val="009B1E00"/>
    <w:rsid w:val="009B3CD2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600E1"/>
    <w:rsid w:val="00A62883"/>
    <w:rsid w:val="00A67EA7"/>
    <w:rsid w:val="00A71C55"/>
    <w:rsid w:val="00A72D3A"/>
    <w:rsid w:val="00A86E32"/>
    <w:rsid w:val="00A904C7"/>
    <w:rsid w:val="00A93D4E"/>
    <w:rsid w:val="00A973CC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419F"/>
    <w:rsid w:val="00B355FC"/>
    <w:rsid w:val="00B5107D"/>
    <w:rsid w:val="00B52564"/>
    <w:rsid w:val="00B52D78"/>
    <w:rsid w:val="00B535FF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07AD"/>
    <w:rsid w:val="00BB1583"/>
    <w:rsid w:val="00BB2F8D"/>
    <w:rsid w:val="00BB380F"/>
    <w:rsid w:val="00BC208B"/>
    <w:rsid w:val="00BC3BA3"/>
    <w:rsid w:val="00BC5776"/>
    <w:rsid w:val="00BC6AEF"/>
    <w:rsid w:val="00BD6249"/>
    <w:rsid w:val="00BE13F6"/>
    <w:rsid w:val="00BE1E3C"/>
    <w:rsid w:val="00BE61EB"/>
    <w:rsid w:val="00BF4635"/>
    <w:rsid w:val="00BF5857"/>
    <w:rsid w:val="00C10489"/>
    <w:rsid w:val="00C12082"/>
    <w:rsid w:val="00C20DAF"/>
    <w:rsid w:val="00C27510"/>
    <w:rsid w:val="00C33748"/>
    <w:rsid w:val="00C34A0E"/>
    <w:rsid w:val="00C42ECC"/>
    <w:rsid w:val="00C46E70"/>
    <w:rsid w:val="00C46F93"/>
    <w:rsid w:val="00C549DF"/>
    <w:rsid w:val="00C5735C"/>
    <w:rsid w:val="00C60E1D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40774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425C8"/>
    <w:rsid w:val="00E458B7"/>
    <w:rsid w:val="00E5216A"/>
    <w:rsid w:val="00E57DD2"/>
    <w:rsid w:val="00E61B58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3B81"/>
    <w:rsid w:val="00EE1539"/>
    <w:rsid w:val="00EE230D"/>
    <w:rsid w:val="00EE3C54"/>
    <w:rsid w:val="00EE3F4E"/>
    <w:rsid w:val="00F11632"/>
    <w:rsid w:val="00F26BCC"/>
    <w:rsid w:val="00F3017A"/>
    <w:rsid w:val="00F35F33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E3889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3414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Dindi</cp:lastModifiedBy>
  <cp:revision>5</cp:revision>
  <cp:lastPrinted>2019-02-06T15:55:00Z</cp:lastPrinted>
  <dcterms:created xsi:type="dcterms:W3CDTF">2020-07-30T11:18:00Z</dcterms:created>
  <dcterms:modified xsi:type="dcterms:W3CDTF">2020-07-30T11:20:00Z</dcterms:modified>
</cp:coreProperties>
</file>